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1jasna"/>
        <w:tblpPr w:leftFromText="141" w:rightFromText="141" w:vertAnchor="page" w:horzAnchor="page" w:tblpX="209" w:tblpY="2221"/>
        <w:tblW w:w="16379" w:type="dxa"/>
        <w:tblLayout w:type="fixed"/>
        <w:tblLook w:val="04A0" w:firstRow="1" w:lastRow="0" w:firstColumn="1" w:lastColumn="0" w:noHBand="0" w:noVBand="1"/>
      </w:tblPr>
      <w:tblGrid>
        <w:gridCol w:w="478"/>
        <w:gridCol w:w="1749"/>
        <w:gridCol w:w="1312"/>
        <w:gridCol w:w="4080"/>
        <w:gridCol w:w="1783"/>
        <w:gridCol w:w="1535"/>
        <w:gridCol w:w="1674"/>
        <w:gridCol w:w="3768"/>
      </w:tblGrid>
      <w:tr w:rsidR="00D77C0D" w:rsidTr="009A0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07120C" w:rsidRDefault="0007120C" w:rsidP="009A0E86">
            <w:pPr>
              <w:jc w:val="center"/>
              <w:rPr>
                <w:sz w:val="16"/>
              </w:rPr>
            </w:pPr>
            <w:proofErr w:type="spellStart"/>
            <w:r w:rsidRPr="0007120C">
              <w:rPr>
                <w:sz w:val="16"/>
              </w:rPr>
              <w:t>Poz</w:t>
            </w:r>
            <w:proofErr w:type="spellEnd"/>
          </w:p>
        </w:tc>
        <w:tc>
          <w:tcPr>
            <w:tcW w:w="1749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Przedmiot</w:t>
            </w:r>
          </w:p>
        </w:tc>
        <w:tc>
          <w:tcPr>
            <w:tcW w:w="1312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Zakres</w:t>
            </w:r>
          </w:p>
        </w:tc>
        <w:tc>
          <w:tcPr>
            <w:tcW w:w="4080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Tytuł</w:t>
            </w:r>
          </w:p>
        </w:tc>
        <w:tc>
          <w:tcPr>
            <w:tcW w:w="1783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Autor</w:t>
            </w:r>
          </w:p>
        </w:tc>
        <w:tc>
          <w:tcPr>
            <w:tcW w:w="1535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Wydawnictwo</w:t>
            </w:r>
          </w:p>
        </w:tc>
        <w:tc>
          <w:tcPr>
            <w:tcW w:w="1674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Numer dopuszczenia</w:t>
            </w:r>
          </w:p>
        </w:tc>
        <w:tc>
          <w:tcPr>
            <w:tcW w:w="3768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D77">
              <w:t>Uwagi</w:t>
            </w:r>
          </w:p>
        </w:tc>
      </w:tr>
      <w:tr w:rsidR="00D77C0D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</w:pPr>
            <w:r>
              <w:t>1</w:t>
            </w:r>
          </w:p>
        </w:tc>
        <w:tc>
          <w:tcPr>
            <w:tcW w:w="1749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436D77" w:rsidRPr="003577DD" w:rsidRDefault="00436D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312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6D77">
              <w:rPr>
                <w:sz w:val="20"/>
                <w:szCs w:val="20"/>
              </w:rPr>
              <w:t>podstawowy                      i rozszerzony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6D77">
              <w:rPr>
                <w:rFonts w:cs="Times New Roman"/>
                <w:sz w:val="20"/>
                <w:szCs w:val="20"/>
              </w:rPr>
              <w:t>Ponad słowami. Podręcznik do języka polskiego dla liceum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36D77"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 technikum. </w:t>
            </w:r>
            <w:r w:rsidRPr="00436D77">
              <w:rPr>
                <w:rFonts w:cs="Times New Roman"/>
                <w:sz w:val="20"/>
                <w:szCs w:val="20"/>
              </w:rPr>
              <w:t>Klasa 1. Część 1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</w:tcBorders>
            <w:vAlign w:val="center"/>
          </w:tcPr>
          <w:p w:rsidR="00432E05" w:rsidRDefault="00A04B91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436D77" w:rsidRPr="00436D77">
              <w:rPr>
                <w:sz w:val="20"/>
                <w:szCs w:val="20"/>
              </w:rPr>
              <w:t>Chmiel</w:t>
            </w:r>
            <w:r>
              <w:rPr>
                <w:sz w:val="20"/>
                <w:szCs w:val="20"/>
              </w:rPr>
              <w:t xml:space="preserve"> </w:t>
            </w:r>
          </w:p>
          <w:p w:rsidR="00436D77" w:rsidRPr="00436D77" w:rsidRDefault="00A04B91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="00436D77" w:rsidRPr="00436D77">
              <w:rPr>
                <w:sz w:val="20"/>
                <w:szCs w:val="20"/>
              </w:rPr>
              <w:t>Kostrzewa</w:t>
            </w:r>
          </w:p>
        </w:tc>
        <w:tc>
          <w:tcPr>
            <w:tcW w:w="1535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6D77"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6D77">
              <w:rPr>
                <w:sz w:val="20"/>
                <w:szCs w:val="20"/>
              </w:rPr>
              <w:t>425/1/2012/2015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6D77">
              <w:rPr>
                <w:sz w:val="20"/>
                <w:szCs w:val="20"/>
              </w:rPr>
              <w:t>Podręcznik obowiązuje w</w:t>
            </w:r>
            <w:r>
              <w:rPr>
                <w:sz w:val="20"/>
                <w:szCs w:val="20"/>
              </w:rPr>
              <w:t>e wszystkich oddziałach klasy I</w:t>
            </w:r>
            <w:r w:rsidR="00A641F2">
              <w:rPr>
                <w:sz w:val="20"/>
                <w:szCs w:val="20"/>
              </w:rPr>
              <w:t>.</w:t>
            </w:r>
          </w:p>
        </w:tc>
      </w:tr>
      <w:tr w:rsidR="00940EAF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</w:pPr>
            <w:r>
              <w:t>2</w:t>
            </w:r>
          </w:p>
        </w:tc>
        <w:tc>
          <w:tcPr>
            <w:tcW w:w="1749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3577DD" w:rsidRDefault="00436D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6D77">
              <w:rPr>
                <w:sz w:val="20"/>
                <w:szCs w:val="20"/>
              </w:rPr>
              <w:t>Ponad słowami. Podręcznik do języka polskiego dla liceum</w:t>
            </w:r>
            <w:r>
              <w:rPr>
                <w:sz w:val="20"/>
                <w:szCs w:val="20"/>
              </w:rPr>
              <w:t xml:space="preserve"> </w:t>
            </w:r>
            <w:r w:rsidRPr="00436D77">
              <w:rPr>
                <w:sz w:val="20"/>
                <w:szCs w:val="20"/>
              </w:rPr>
              <w:t>i technikum.</w:t>
            </w:r>
            <w:r>
              <w:rPr>
                <w:sz w:val="20"/>
                <w:szCs w:val="20"/>
              </w:rPr>
              <w:t xml:space="preserve"> </w:t>
            </w:r>
            <w:r w:rsidRPr="00436D77">
              <w:rPr>
                <w:sz w:val="20"/>
                <w:szCs w:val="20"/>
              </w:rPr>
              <w:t>Klasa 1. Część 2</w:t>
            </w:r>
          </w:p>
        </w:tc>
        <w:tc>
          <w:tcPr>
            <w:tcW w:w="1783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A04B91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436D77" w:rsidRPr="00436D77">
              <w:rPr>
                <w:sz w:val="20"/>
                <w:szCs w:val="20"/>
              </w:rPr>
              <w:t>Chmiel</w:t>
            </w:r>
          </w:p>
          <w:p w:rsidR="00436D77" w:rsidRPr="00436D77" w:rsidRDefault="00A04B91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436D77" w:rsidRPr="00436D77">
              <w:rPr>
                <w:sz w:val="20"/>
                <w:szCs w:val="20"/>
              </w:rPr>
              <w:t>Równy</w:t>
            </w:r>
          </w:p>
        </w:tc>
        <w:tc>
          <w:tcPr>
            <w:tcW w:w="1535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6D77">
              <w:rPr>
                <w:sz w:val="20"/>
                <w:szCs w:val="20"/>
              </w:rPr>
              <w:t>425/2/2012/2015</w:t>
            </w:r>
          </w:p>
        </w:tc>
        <w:tc>
          <w:tcPr>
            <w:tcW w:w="3768" w:type="dxa"/>
            <w:tcBorders>
              <w:bottom w:val="single" w:sz="12" w:space="0" w:color="999999" w:themeColor="text1" w:themeTint="66"/>
            </w:tcBorders>
            <w:vAlign w:val="center"/>
          </w:tcPr>
          <w:p w:rsidR="00436D77" w:rsidRPr="00436D77" w:rsidRDefault="00436D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6D77">
              <w:rPr>
                <w:sz w:val="20"/>
                <w:szCs w:val="20"/>
              </w:rPr>
              <w:t>Podręcznik obowiązuje we wszystkich oddziałach klasy I</w:t>
            </w:r>
            <w:r>
              <w:rPr>
                <w:sz w:val="20"/>
                <w:szCs w:val="20"/>
              </w:rPr>
              <w:t xml:space="preserve"> </w:t>
            </w:r>
            <w:r w:rsidRPr="00436D77">
              <w:rPr>
                <w:sz w:val="20"/>
                <w:szCs w:val="20"/>
              </w:rPr>
              <w:t xml:space="preserve">po zrealizowaniu </w:t>
            </w:r>
            <w:r>
              <w:rPr>
                <w:sz w:val="20"/>
                <w:szCs w:val="20"/>
              </w:rPr>
              <w:t>podręcznika z poz.</w:t>
            </w:r>
            <w:r w:rsidRPr="00436D77">
              <w:rPr>
                <w:sz w:val="20"/>
                <w:szCs w:val="20"/>
              </w:rPr>
              <w:t xml:space="preserve"> 1.</w:t>
            </w:r>
          </w:p>
        </w:tc>
      </w:tr>
      <w:tr w:rsidR="00A40A9E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</w:tcBorders>
            <w:vAlign w:val="center"/>
          </w:tcPr>
          <w:p w:rsidR="00A40A9E" w:rsidRPr="00436D77" w:rsidRDefault="00A40A9E" w:rsidP="009A0E86">
            <w:pPr>
              <w:jc w:val="center"/>
            </w:pPr>
            <w:r>
              <w:t>3</w:t>
            </w:r>
          </w:p>
        </w:tc>
        <w:tc>
          <w:tcPr>
            <w:tcW w:w="1749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A40A9E" w:rsidRPr="003577DD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312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4B91">
              <w:rPr>
                <w:sz w:val="20"/>
                <w:szCs w:val="20"/>
              </w:rPr>
              <w:t>podstawowy i rozszerzony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</w:tcBorders>
            <w:vAlign w:val="center"/>
          </w:tcPr>
          <w:p w:rsidR="00A40A9E" w:rsidRPr="00A04B91" w:rsidRDefault="00D331E6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Oxford</w:t>
            </w:r>
            <w:r w:rsidR="00A40A9E" w:rsidRPr="00A04B91">
              <w:rPr>
                <w:sz w:val="20"/>
                <w:szCs w:val="20"/>
                <w:lang w:val="en-US"/>
              </w:rPr>
              <w:t xml:space="preserve"> Solutions Pre-Intermediate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4B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.A. Davies </w:t>
            </w:r>
          </w:p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Falla</w:t>
            </w:r>
          </w:p>
          <w:p w:rsidR="00A40A9E" w:rsidRPr="00A04B91" w:rsidRDefault="00D331E6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Sobierska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</w:tcBorders>
            <w:vAlign w:val="center"/>
          </w:tcPr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4B91">
              <w:rPr>
                <w:sz w:val="20"/>
                <w:szCs w:val="20"/>
              </w:rPr>
              <w:t>Oxford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</w:tcBorders>
            <w:vAlign w:val="center"/>
          </w:tcPr>
          <w:p w:rsidR="00A40A9E" w:rsidRPr="00A04B91" w:rsidRDefault="00D331E6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733/2/2015</w:t>
            </w:r>
          </w:p>
        </w:tc>
        <w:tc>
          <w:tcPr>
            <w:tcW w:w="3768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4B91">
              <w:rPr>
                <w:sz w:val="20"/>
                <w:szCs w:val="20"/>
              </w:rPr>
              <w:t>Wybór podręcznika jest uzależniony</w:t>
            </w:r>
            <w:r>
              <w:rPr>
                <w:sz w:val="20"/>
                <w:szCs w:val="20"/>
              </w:rPr>
              <w:t xml:space="preserve">                    </w:t>
            </w:r>
            <w:r w:rsidRPr="00A04B91">
              <w:rPr>
                <w:sz w:val="20"/>
                <w:szCs w:val="20"/>
              </w:rPr>
              <w:t xml:space="preserve"> od przydziału do danej grupy oddziałowej lub międzyoddziałowej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A40A9E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:rsidR="00A40A9E" w:rsidRPr="00436D77" w:rsidRDefault="00A40A9E" w:rsidP="009A0E86">
            <w:pPr>
              <w:jc w:val="center"/>
            </w:pPr>
            <w:r>
              <w:t>5</w:t>
            </w:r>
          </w:p>
        </w:tc>
        <w:tc>
          <w:tcPr>
            <w:tcW w:w="1749" w:type="dxa"/>
            <w:vMerge/>
            <w:vAlign w:val="center"/>
          </w:tcPr>
          <w:p w:rsidR="00A40A9E" w:rsidRPr="003577DD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Matura Focus 2 </w:t>
            </w:r>
            <w:proofErr w:type="spellStart"/>
            <w:r>
              <w:rPr>
                <w:sz w:val="20"/>
                <w:szCs w:val="20"/>
              </w:rPr>
              <w:t>Pre-Intermediate</w:t>
            </w:r>
            <w:proofErr w:type="spellEnd"/>
          </w:p>
        </w:tc>
        <w:tc>
          <w:tcPr>
            <w:tcW w:w="1783" w:type="dxa"/>
            <w:vMerge w:val="restart"/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Kay</w:t>
            </w:r>
            <w:proofErr w:type="spellEnd"/>
          </w:p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V. Jones           </w:t>
            </w:r>
            <w:r w:rsidRPr="00A04B91">
              <w:rPr>
                <w:sz w:val="20"/>
                <w:szCs w:val="20"/>
              </w:rPr>
              <w:t xml:space="preserve"> </w:t>
            </w:r>
          </w:p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Brayshaw</w:t>
            </w:r>
            <w:proofErr w:type="spellEnd"/>
            <w:r w:rsidRPr="00A04B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A04B91">
              <w:rPr>
                <w:sz w:val="20"/>
                <w:szCs w:val="20"/>
              </w:rPr>
              <w:t>B. Michałowski</w:t>
            </w:r>
          </w:p>
        </w:tc>
        <w:tc>
          <w:tcPr>
            <w:tcW w:w="1535" w:type="dxa"/>
            <w:vAlign w:val="center"/>
          </w:tcPr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674" w:type="dxa"/>
            <w:vAlign w:val="center"/>
          </w:tcPr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672/2/2013/2015</w:t>
            </w:r>
          </w:p>
        </w:tc>
        <w:tc>
          <w:tcPr>
            <w:tcW w:w="3768" w:type="dxa"/>
            <w:vMerge/>
            <w:vAlign w:val="center"/>
          </w:tcPr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0A9E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:rsidR="00A40A9E" w:rsidRPr="00436D77" w:rsidRDefault="00A40A9E" w:rsidP="009A0E86">
            <w:pPr>
              <w:jc w:val="center"/>
            </w:pPr>
            <w:r>
              <w:t>6</w:t>
            </w:r>
          </w:p>
        </w:tc>
        <w:tc>
          <w:tcPr>
            <w:tcW w:w="1749" w:type="dxa"/>
            <w:vMerge/>
            <w:vAlign w:val="center"/>
          </w:tcPr>
          <w:p w:rsidR="00A40A9E" w:rsidRPr="003577DD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Matura Focus 3 </w:t>
            </w:r>
            <w:proofErr w:type="spellStart"/>
            <w:r>
              <w:rPr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1783" w:type="dxa"/>
            <w:vMerge/>
            <w:vAlign w:val="center"/>
          </w:tcPr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674" w:type="dxa"/>
            <w:vAlign w:val="center"/>
          </w:tcPr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4B91">
              <w:rPr>
                <w:sz w:val="20"/>
                <w:szCs w:val="20"/>
              </w:rPr>
              <w:t>672/3/2014/2015</w:t>
            </w:r>
          </w:p>
        </w:tc>
        <w:tc>
          <w:tcPr>
            <w:tcW w:w="3768" w:type="dxa"/>
            <w:vMerge/>
            <w:vAlign w:val="center"/>
          </w:tcPr>
          <w:p w:rsidR="00A40A9E" w:rsidRPr="00A04B91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41F2" w:rsidRPr="00A04B91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vAlign w:val="center"/>
          </w:tcPr>
          <w:p w:rsidR="00A641F2" w:rsidRPr="00436D77" w:rsidRDefault="00A641F2" w:rsidP="009A0E86">
            <w:pPr>
              <w:jc w:val="center"/>
            </w:pPr>
            <w:r>
              <w:t>7</w:t>
            </w:r>
          </w:p>
        </w:tc>
        <w:tc>
          <w:tcPr>
            <w:tcW w:w="1749" w:type="dxa"/>
            <w:vMerge/>
            <w:vAlign w:val="center"/>
          </w:tcPr>
          <w:p w:rsidR="00A641F2" w:rsidRPr="003577DD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A641F2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A641F2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Repetytorium maturalne. Poziom podstawowy</w:t>
            </w:r>
          </w:p>
        </w:tc>
        <w:tc>
          <w:tcPr>
            <w:tcW w:w="1783" w:type="dxa"/>
            <w:vAlign w:val="center"/>
          </w:tcPr>
          <w:p w:rsid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val="en-US"/>
              </w:rPr>
              <w:t>Umińska</w:t>
            </w:r>
            <w:proofErr w:type="spellEnd"/>
            <w:r w:rsidR="00A641F2">
              <w:rPr>
                <w:sz w:val="20"/>
                <w:szCs w:val="20"/>
                <w:lang w:val="en-US"/>
              </w:rPr>
              <w:t xml:space="preserve">                 </w:t>
            </w:r>
            <w:r>
              <w:rPr>
                <w:sz w:val="20"/>
                <w:szCs w:val="20"/>
                <w:lang w:val="en-US"/>
              </w:rPr>
              <w:t>B. Hastings</w:t>
            </w:r>
            <w:r w:rsidR="00A641F2">
              <w:rPr>
                <w:sz w:val="20"/>
                <w:szCs w:val="20"/>
                <w:lang w:val="en-US"/>
              </w:rPr>
              <w:t xml:space="preserve">                          </w:t>
            </w:r>
            <w:r w:rsidR="00A641F2" w:rsidRPr="00A04B91">
              <w:rPr>
                <w:sz w:val="20"/>
                <w:szCs w:val="20"/>
                <w:lang w:val="en-US"/>
              </w:rPr>
              <w:t xml:space="preserve">D. </w:t>
            </w:r>
            <w:r>
              <w:rPr>
                <w:sz w:val="20"/>
                <w:szCs w:val="20"/>
                <w:lang w:val="en-US"/>
              </w:rPr>
              <w:t>Chandler</w:t>
            </w:r>
          </w:p>
          <w:p w:rsidR="00A641F2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>
              <w:rPr>
                <w:sz w:val="20"/>
                <w:szCs w:val="20"/>
                <w:lang w:val="en-US"/>
              </w:rPr>
              <w:t>Fricker</w:t>
            </w:r>
            <w:proofErr w:type="spellEnd"/>
          </w:p>
        </w:tc>
        <w:tc>
          <w:tcPr>
            <w:tcW w:w="1535" w:type="dxa"/>
            <w:vAlign w:val="center"/>
          </w:tcPr>
          <w:p w:rsidR="00A641F2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674" w:type="dxa"/>
            <w:vAlign w:val="center"/>
          </w:tcPr>
          <w:p w:rsidR="00A641F2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vMerge/>
            <w:vAlign w:val="center"/>
          </w:tcPr>
          <w:p w:rsidR="00A641F2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A641F2" w:rsidRPr="00A04B91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bottom w:val="single" w:sz="12" w:space="0" w:color="999999" w:themeColor="text1" w:themeTint="66"/>
            </w:tcBorders>
            <w:vAlign w:val="center"/>
          </w:tcPr>
          <w:p w:rsidR="00A641F2" w:rsidRPr="00A04B91" w:rsidRDefault="00A641F2" w:rsidP="009A0E86">
            <w:pPr>
              <w:jc w:val="center"/>
              <w:rPr>
                <w:lang w:val="en-US"/>
              </w:rPr>
            </w:pPr>
            <w:r w:rsidRPr="00A04B91">
              <w:rPr>
                <w:lang w:val="en-US"/>
              </w:rPr>
              <w:t>8</w:t>
            </w:r>
          </w:p>
        </w:tc>
        <w:tc>
          <w:tcPr>
            <w:tcW w:w="1749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A641F2" w:rsidRPr="003577DD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A641F2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tcBorders>
              <w:bottom w:val="single" w:sz="12" w:space="0" w:color="999999" w:themeColor="text1" w:themeTint="66"/>
            </w:tcBorders>
            <w:vAlign w:val="center"/>
          </w:tcPr>
          <w:p w:rsidR="00A641F2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 screen Intermediate</w:t>
            </w:r>
          </w:p>
        </w:tc>
        <w:tc>
          <w:tcPr>
            <w:tcW w:w="1783" w:type="dxa"/>
            <w:tcBorders>
              <w:bottom w:val="single" w:sz="12" w:space="0" w:color="999999" w:themeColor="text1" w:themeTint="66"/>
            </w:tcBorders>
            <w:vAlign w:val="center"/>
          </w:tcPr>
          <w:p w:rsid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V. Evans</w:t>
            </w:r>
          </w:p>
          <w:p w:rsidR="00A641F2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J. Dooley</w:t>
            </w:r>
          </w:p>
        </w:tc>
        <w:tc>
          <w:tcPr>
            <w:tcW w:w="1535" w:type="dxa"/>
            <w:tcBorders>
              <w:bottom w:val="single" w:sz="12" w:space="0" w:color="999999" w:themeColor="text1" w:themeTint="66"/>
            </w:tcBorders>
            <w:vAlign w:val="center"/>
          </w:tcPr>
          <w:p w:rsidR="00A641F2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EGIS</w:t>
            </w:r>
          </w:p>
        </w:tc>
        <w:tc>
          <w:tcPr>
            <w:tcW w:w="1674" w:type="dxa"/>
            <w:tcBorders>
              <w:bottom w:val="single" w:sz="12" w:space="0" w:color="999999" w:themeColor="text1" w:themeTint="66"/>
            </w:tcBorders>
            <w:vAlign w:val="center"/>
          </w:tcPr>
          <w:p w:rsidR="00A641F2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692/1/2014</w:t>
            </w:r>
          </w:p>
        </w:tc>
        <w:tc>
          <w:tcPr>
            <w:tcW w:w="3768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A641F2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432E05" w:rsidRPr="00A641F2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6D77" w:rsidRPr="00A04B91" w:rsidRDefault="00D35167" w:rsidP="009A0E86">
            <w:pPr>
              <w:jc w:val="center"/>
              <w:rPr>
                <w:lang w:val="en-US"/>
              </w:rPr>
            </w:pPr>
            <w:r w:rsidRPr="00A04B91">
              <w:rPr>
                <w:lang w:val="en-US"/>
              </w:rPr>
              <w:t>9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6D77" w:rsidRPr="003577DD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6D77" w:rsidRPr="00432E05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>-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  <w:right w:val="single" w:sz="2" w:space="0" w:color="999999" w:themeColor="text1" w:themeTint="66"/>
            </w:tcBorders>
            <w:vAlign w:val="center"/>
          </w:tcPr>
          <w:p w:rsidR="00436D77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left w:val="single" w:sz="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6D77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6D77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6D77" w:rsidRPr="00A04B91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6D77" w:rsidRPr="00A641F2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F2">
              <w:rPr>
                <w:sz w:val="20"/>
                <w:szCs w:val="20"/>
              </w:rPr>
              <w:t xml:space="preserve">Decyzja o obowiązującym podręczniku zostanie podana we wrześniu. </w:t>
            </w:r>
          </w:p>
        </w:tc>
      </w:tr>
      <w:tr w:rsidR="00AB7B69" w:rsidRPr="00A641F2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Pr="00A04B91" w:rsidRDefault="00A641F2" w:rsidP="009A0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Pr="003577DD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francuski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Pr="00432E05" w:rsidRDefault="00D46A2D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Default="007B5275" w:rsidP="007B5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Francofolie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express 1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Default="007B5275" w:rsidP="007B5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75"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Boutegege</w:t>
            </w:r>
            <w:proofErr w:type="spellEnd"/>
          </w:p>
          <w:p w:rsidR="007B5275" w:rsidRPr="007B5275" w:rsidRDefault="007B5275" w:rsidP="007B5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Supryn</w:t>
            </w:r>
            <w:proofErr w:type="spellEnd"/>
            <w:r w:rsidR="00474D37">
              <w:rPr>
                <w:sz w:val="20"/>
                <w:szCs w:val="20"/>
              </w:rPr>
              <w:t xml:space="preserve"> - </w:t>
            </w:r>
            <w:proofErr w:type="spellStart"/>
            <w:r w:rsidR="00474D37">
              <w:rPr>
                <w:sz w:val="20"/>
                <w:szCs w:val="20"/>
              </w:rPr>
              <w:t>Klepcarz</w:t>
            </w:r>
            <w:proofErr w:type="spellEnd"/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Pr="007B5275" w:rsidRDefault="00474D37" w:rsidP="007B5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Pr="007B5275" w:rsidRDefault="00474D37" w:rsidP="007B5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382/1/2011/2015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Pr="00A641F2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7B69" w:rsidRPr="00432E05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Pr="007B5275" w:rsidRDefault="00A641F2" w:rsidP="009A0E86">
            <w:pPr>
              <w:jc w:val="center"/>
            </w:pPr>
            <w:r w:rsidRPr="007B5275">
              <w:t>11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Pr="003577DD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Pr="00432E05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Pr="007B5275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Pr="007B5275" w:rsidRDefault="00A641F2" w:rsidP="00474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Pr="007B5275" w:rsidRDefault="00842711" w:rsidP="00474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275">
              <w:rPr>
                <w:sz w:val="20"/>
                <w:szCs w:val="20"/>
              </w:rPr>
              <w:t>D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Pr="007B5275" w:rsidRDefault="00A641F2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641F2" w:rsidRPr="00432E05" w:rsidRDefault="00474D3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F2">
              <w:rPr>
                <w:sz w:val="20"/>
                <w:szCs w:val="20"/>
              </w:rPr>
              <w:t>Decyzja o obowiązującym podręczniku zostanie podana we wrześniu.</w:t>
            </w:r>
            <w:bookmarkStart w:id="0" w:name="_GoBack"/>
            <w:bookmarkEnd w:id="0"/>
          </w:p>
        </w:tc>
      </w:tr>
      <w:tr w:rsidR="00AB7B69" w:rsidRPr="00432E05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Default="006E64C7" w:rsidP="009A0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3577DD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włoski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432E05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Nuovo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Progetto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Italiano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A1-A2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T. Marin</w:t>
            </w:r>
          </w:p>
          <w:p w:rsidR="006E64C7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S. </w:t>
            </w:r>
            <w:proofErr w:type="spellStart"/>
            <w:r>
              <w:rPr>
                <w:sz w:val="20"/>
                <w:szCs w:val="20"/>
                <w:lang w:val="en-US"/>
              </w:rPr>
              <w:t>Magnelli</w:t>
            </w:r>
            <w:proofErr w:type="spellEnd"/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6E64C7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EdiLingua</w:t>
            </w:r>
            <w:proofErr w:type="spellEnd"/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6E64C7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64C7">
              <w:rPr>
                <w:sz w:val="20"/>
                <w:szCs w:val="20"/>
                <w:lang w:val="en-US"/>
              </w:rPr>
              <w:t>557/1/2012/2015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 xml:space="preserve">Podręcznik obowiązuje we wszystkich grupach międzyoddziałowych </w:t>
            </w:r>
            <w:r>
              <w:rPr>
                <w:sz w:val="20"/>
                <w:szCs w:val="20"/>
              </w:rPr>
              <w:t>z językiem włoskim.</w:t>
            </w:r>
          </w:p>
        </w:tc>
      </w:tr>
      <w:tr w:rsidR="00AB7B69" w:rsidRPr="00432E05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Default="006E64C7" w:rsidP="009A0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3577DD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Język rosyjski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432E05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Nowyi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Dialog 1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val="en-US"/>
              </w:rPr>
              <w:t>Zybert</w:t>
            </w:r>
            <w:proofErr w:type="spellEnd"/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WSiP</w:t>
            </w:r>
            <w:proofErr w:type="spellEnd"/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6E64C7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684/1/2014/2014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 xml:space="preserve">Podręcznik obowiązuje we wszystkich grupach międzyoddziałowych </w:t>
            </w:r>
            <w:r>
              <w:rPr>
                <w:sz w:val="20"/>
                <w:szCs w:val="20"/>
              </w:rPr>
              <w:t>z językiem rosyjskim.</w:t>
            </w:r>
          </w:p>
        </w:tc>
      </w:tr>
      <w:tr w:rsidR="00AB7B69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Default="006E64C7" w:rsidP="009A0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3577DD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Wiedza o kulturze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432E05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6E64C7" w:rsidRDefault="006E64C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4C7">
              <w:rPr>
                <w:sz w:val="20"/>
                <w:szCs w:val="20"/>
              </w:rPr>
              <w:t xml:space="preserve">Spotkania z kulturą. Podręcznik do wiedzy </w:t>
            </w:r>
            <w:r>
              <w:rPr>
                <w:sz w:val="20"/>
                <w:szCs w:val="20"/>
              </w:rPr>
              <w:t xml:space="preserve">                  </w:t>
            </w:r>
            <w:r w:rsidRPr="006E64C7">
              <w:rPr>
                <w:sz w:val="20"/>
                <w:szCs w:val="20"/>
              </w:rPr>
              <w:t xml:space="preserve">o kulturze dla </w:t>
            </w:r>
            <w:r>
              <w:rPr>
                <w:sz w:val="20"/>
                <w:szCs w:val="20"/>
              </w:rPr>
              <w:t>li</w:t>
            </w:r>
            <w:r w:rsidRPr="006E64C7">
              <w:rPr>
                <w:sz w:val="20"/>
                <w:szCs w:val="20"/>
              </w:rPr>
              <w:t>ceum I technikum.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6E64C7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Bokiniec             B. </w:t>
            </w:r>
            <w:proofErr w:type="spellStart"/>
            <w:r>
              <w:rPr>
                <w:sz w:val="20"/>
                <w:szCs w:val="20"/>
              </w:rPr>
              <w:t>Forysiewicz</w:t>
            </w:r>
            <w:proofErr w:type="spellEnd"/>
            <w:r>
              <w:rPr>
                <w:sz w:val="20"/>
                <w:szCs w:val="20"/>
              </w:rPr>
              <w:t xml:space="preserve"> i inni                    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6E64C7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6E64C7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449/2012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6E64C7" w:rsidRPr="006E64C7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we wszystkich oddziałach klasy pierwszej</w:t>
            </w:r>
            <w:r w:rsidR="00940EAF">
              <w:rPr>
                <w:sz w:val="20"/>
                <w:szCs w:val="20"/>
              </w:rPr>
              <w:t>.</w:t>
            </w:r>
          </w:p>
        </w:tc>
      </w:tr>
      <w:tr w:rsidR="00AB7B69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432E05" w:rsidP="009A0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Pr="003577DD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P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Pr="006E64C7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Poznać przeszłość. Wiek XX. Podręcznik                       do historii dla szkół ponadgimnazjalnych.     Zakres podstawowy.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Roszak </w:t>
            </w:r>
          </w:p>
          <w:p w:rsid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525/2012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we wszystkich oddziałach klasy pierwszej</w:t>
            </w:r>
            <w:r w:rsidR="00940EAF">
              <w:rPr>
                <w:sz w:val="20"/>
                <w:szCs w:val="20"/>
              </w:rPr>
              <w:t>.</w:t>
            </w:r>
          </w:p>
        </w:tc>
      </w:tr>
      <w:tr w:rsidR="00432E05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432E05" w:rsidP="009A0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Pr="003577DD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P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centrum uwagi. Podręcznik do wiedzy o społeczeństwie dla szkół ponadgimnazjalnych. Zakres podstawowy.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Pr="00940EAF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EAF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40EAF">
              <w:rPr>
                <w:sz w:val="20"/>
                <w:szCs w:val="20"/>
              </w:rPr>
              <w:t>Janicki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505/2012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we wszystkich oddziałach klasy pierwszej.</w:t>
            </w:r>
          </w:p>
        </w:tc>
      </w:tr>
      <w:tr w:rsidR="00AB7B69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Pr="00940EAF" w:rsidRDefault="00432E05" w:rsidP="009A0E86">
            <w:pPr>
              <w:jc w:val="center"/>
            </w:pPr>
            <w:r w:rsidRPr="00940EAF">
              <w:t>17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Pr="003577DD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P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05"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Makieła</w:t>
            </w:r>
          </w:p>
          <w:p w:rsid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467/2012/2015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432E05" w:rsidRDefault="00432E05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we wszystkich oddziałach klasy pierwszej + zeszyt ćwiczeń</w:t>
            </w:r>
          </w:p>
        </w:tc>
      </w:tr>
      <w:tr w:rsidR="00940EAF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940EAF" w:rsidRPr="00940EAF" w:rsidRDefault="00940EAF" w:rsidP="009A0E86">
            <w:pPr>
              <w:jc w:val="center"/>
            </w:pPr>
            <w:r>
              <w:t>18</w:t>
            </w:r>
          </w:p>
        </w:tc>
        <w:tc>
          <w:tcPr>
            <w:tcW w:w="1749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940EAF" w:rsidRPr="003577DD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 xml:space="preserve">Geografia 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</w:tcBorders>
            <w:vAlign w:val="center"/>
          </w:tcPr>
          <w:p w:rsidR="00940EAF" w:rsidRPr="00432E05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40EAF">
              <w:rPr>
                <w:sz w:val="20"/>
                <w:szCs w:val="20"/>
              </w:rPr>
              <w:t xml:space="preserve">odstawowy 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940EAF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geografii. Podręcznik dla szkół ponadgimnazjalnych. Zakres podstawowy.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940EAF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Uliszak</w:t>
            </w:r>
            <w:proofErr w:type="spellEnd"/>
          </w:p>
          <w:p w:rsidR="00940EAF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940EAF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940EAF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433/2012/2014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940EAF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we wszystkich oddziałach klasy pierwszej.</w:t>
            </w:r>
          </w:p>
        </w:tc>
      </w:tr>
      <w:tr w:rsidR="003577DD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940EAF" w:rsidRDefault="00940EAF" w:rsidP="009A0E86">
            <w:pPr>
              <w:jc w:val="center"/>
            </w:pPr>
            <w:r>
              <w:t>19</w:t>
            </w:r>
          </w:p>
        </w:tc>
        <w:tc>
          <w:tcPr>
            <w:tcW w:w="1749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940EAF" w:rsidRPr="003577DD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12" w:space="0" w:color="999999" w:themeColor="text1" w:themeTint="66"/>
            </w:tcBorders>
            <w:vAlign w:val="center"/>
          </w:tcPr>
          <w:p w:rsidR="00940EAF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940EAF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geografii. Część I. Podręcznik dla liceum ogólnokształcącego i technikum.                           Zakres rozszerzony</w:t>
            </w:r>
            <w:r w:rsidR="00F946FE">
              <w:rPr>
                <w:sz w:val="20"/>
                <w:szCs w:val="20"/>
              </w:rPr>
              <w:t>.</w:t>
            </w:r>
          </w:p>
        </w:tc>
        <w:tc>
          <w:tcPr>
            <w:tcW w:w="17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940EAF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Malarz</w:t>
            </w:r>
          </w:p>
          <w:p w:rsidR="00940EAF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Więckowski</w:t>
            </w:r>
          </w:p>
        </w:tc>
        <w:tc>
          <w:tcPr>
            <w:tcW w:w="1535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940EAF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940EAF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501/1/2012/2015</w:t>
            </w:r>
          </w:p>
        </w:tc>
        <w:tc>
          <w:tcPr>
            <w:tcW w:w="3768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940EAF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obowiązuje w oddziale 1a, 1b, po zrealizowaniu podręcznika z poz. 18. </w:t>
            </w:r>
          </w:p>
        </w:tc>
      </w:tr>
      <w:tr w:rsidR="00940EAF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940EAF" w:rsidRDefault="00940EAF" w:rsidP="009A0E86">
            <w:pPr>
              <w:jc w:val="center"/>
            </w:pPr>
            <w:r>
              <w:t>20</w:t>
            </w:r>
          </w:p>
        </w:tc>
        <w:tc>
          <w:tcPr>
            <w:tcW w:w="1749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940EAF" w:rsidRPr="003577DD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 xml:space="preserve">Biologia 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</w:tcBorders>
            <w:vAlign w:val="center"/>
          </w:tcPr>
          <w:p w:rsidR="00940EAF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40EAF">
              <w:rPr>
                <w:sz w:val="20"/>
                <w:szCs w:val="20"/>
              </w:rPr>
              <w:t>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940EAF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na czasie. Podręcznik dla szkół ponadgimnazjalnych. Zakres podstawowy.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940EAF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Bonar</w:t>
            </w:r>
            <w:proofErr w:type="spellEnd"/>
          </w:p>
          <w:p w:rsidR="00F946FE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Czachorowski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940EAF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940EAF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450/2012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940EAF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we wszystkich oddziałach klasy pierwszej.</w:t>
            </w:r>
          </w:p>
        </w:tc>
      </w:tr>
      <w:tr w:rsidR="00940EAF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940EAF" w:rsidRDefault="00940EAF" w:rsidP="009A0E86">
            <w:pPr>
              <w:jc w:val="center"/>
            </w:pPr>
            <w:r>
              <w:t>21</w:t>
            </w:r>
          </w:p>
        </w:tc>
        <w:tc>
          <w:tcPr>
            <w:tcW w:w="1749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940EAF" w:rsidRPr="003577DD" w:rsidRDefault="00940EAF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12" w:space="0" w:color="999999" w:themeColor="text1" w:themeTint="66"/>
            </w:tcBorders>
            <w:vAlign w:val="center"/>
          </w:tcPr>
          <w:p w:rsidR="00940EAF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940EAF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Biologia na czasie 1. Podręcznik dla liceum </w:t>
            </w:r>
            <w:r w:rsidR="00D77C0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i technikum. Zakres rozszerzony.</w:t>
            </w:r>
          </w:p>
        </w:tc>
        <w:tc>
          <w:tcPr>
            <w:tcW w:w="17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940EAF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Guzik</w:t>
            </w:r>
          </w:p>
          <w:p w:rsidR="00F946FE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Jastrzębska i inni</w:t>
            </w:r>
          </w:p>
        </w:tc>
        <w:tc>
          <w:tcPr>
            <w:tcW w:w="1535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940EAF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940EAF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564/1/2012</w:t>
            </w:r>
          </w:p>
        </w:tc>
        <w:tc>
          <w:tcPr>
            <w:tcW w:w="3768" w:type="dxa"/>
            <w:tcBorders>
              <w:top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940EAF" w:rsidRDefault="00F946F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obowiązuje w oddziale 1c </w:t>
            </w:r>
            <w:r w:rsidR="00AB7B6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po zrealizowaniu podręcznika z poz. 20.</w:t>
            </w:r>
          </w:p>
        </w:tc>
      </w:tr>
      <w:tr w:rsidR="00A40A9E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</w:pPr>
            <w:r>
              <w:t>22</w:t>
            </w:r>
          </w:p>
        </w:tc>
        <w:tc>
          <w:tcPr>
            <w:tcW w:w="1749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A40A9E" w:rsidRPr="003577DD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jest chemia. Podręcznik dla szkół ponadgimnazjalnych. Zakres podstawowy.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left w:val="single" w:sz="4" w:space="0" w:color="999999" w:themeColor="text1" w:themeTint="66"/>
            </w:tcBorders>
            <w:vAlign w:val="center"/>
          </w:tcPr>
          <w:p w:rsidR="00A40A9E" w:rsidRPr="00842711" w:rsidRDefault="00A81248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42711">
              <w:rPr>
                <w:sz w:val="20"/>
                <w:szCs w:val="20"/>
                <w:lang w:val="en-US"/>
              </w:rPr>
              <w:t>R. Hass</w:t>
            </w:r>
          </w:p>
          <w:p w:rsidR="00A81248" w:rsidRPr="00842711" w:rsidRDefault="00A81248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42711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842711">
              <w:rPr>
                <w:sz w:val="20"/>
                <w:szCs w:val="20"/>
                <w:lang w:val="en-US"/>
              </w:rPr>
              <w:t>Mrzigod</w:t>
            </w:r>
            <w:proofErr w:type="spellEnd"/>
          </w:p>
          <w:p w:rsidR="00A81248" w:rsidRPr="00842711" w:rsidRDefault="00A81248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42711">
              <w:rPr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842711">
              <w:rPr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438/2012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we wszystkich oddziałach klasy pierwszej.</w:t>
            </w:r>
          </w:p>
        </w:tc>
      </w:tr>
      <w:tr w:rsidR="00A40A9E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</w:pPr>
            <w:r>
              <w:lastRenderedPageBreak/>
              <w:t>23</w:t>
            </w:r>
          </w:p>
        </w:tc>
        <w:tc>
          <w:tcPr>
            <w:tcW w:w="1749" w:type="dxa"/>
            <w:vMerge/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jest chemia. Część 1. Chemia ogólna                         i nieorganiczna. Podręcznik dla liceum                          i technikum. Zakres rozszerzony.</w:t>
            </w:r>
          </w:p>
        </w:tc>
        <w:tc>
          <w:tcPr>
            <w:tcW w:w="1783" w:type="dxa"/>
            <w:tcBorders>
              <w:left w:val="single" w:sz="4" w:space="0" w:color="999999" w:themeColor="text1" w:themeTint="66"/>
            </w:tcBorders>
            <w:vAlign w:val="center"/>
          </w:tcPr>
          <w:p w:rsidR="00A40A9E" w:rsidRDefault="00A81248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Litwin</w:t>
            </w:r>
          </w:p>
          <w:p w:rsidR="00A81248" w:rsidRDefault="00A81248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Styka-Wlazło</w:t>
            </w:r>
          </w:p>
          <w:p w:rsidR="00A81248" w:rsidRDefault="00A81248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Szymońska</w:t>
            </w:r>
          </w:p>
        </w:tc>
        <w:tc>
          <w:tcPr>
            <w:tcW w:w="1535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528/1/2012</w:t>
            </w:r>
          </w:p>
        </w:tc>
        <w:tc>
          <w:tcPr>
            <w:tcW w:w="3768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 oddziale 1c                po zrealizowaniu podręcznika z poz. 22.</w:t>
            </w:r>
          </w:p>
        </w:tc>
      </w:tr>
      <w:tr w:rsidR="00A40A9E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</w:pPr>
            <w:r>
              <w:t>24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40A9E" w:rsidRPr="003577DD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 xml:space="preserve">Fizyka 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fizyki. Podręcznik dla uczniów szkół ponadgimnazjalnych. Poziom podstawowy.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left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Nessing</w:t>
            </w:r>
            <w:proofErr w:type="spellEnd"/>
          </w:p>
          <w:p w:rsidR="00A40A9E" w:rsidRDefault="00A40A9E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Blokesz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40A9E" w:rsidRDefault="00A81248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ZamKor</w:t>
            </w:r>
            <w:proofErr w:type="spellEnd"/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40A9E" w:rsidRDefault="00A81248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394/2011/2015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A40A9E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we wszystkich oddziałach klasy pierwszej + zbiór zadań.</w:t>
            </w:r>
          </w:p>
        </w:tc>
      </w:tr>
      <w:tr w:rsidR="00516F77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</w:pPr>
            <w:r>
              <w:t>25</w:t>
            </w:r>
          </w:p>
        </w:tc>
        <w:tc>
          <w:tcPr>
            <w:tcW w:w="1749" w:type="dxa"/>
            <w:vMerge w:val="restart"/>
            <w:tcBorders>
              <w:top w:val="single" w:sz="12" w:space="0" w:color="999999" w:themeColor="text1" w:themeTint="66"/>
            </w:tcBorders>
            <w:vAlign w:val="center"/>
          </w:tcPr>
          <w:p w:rsidR="00516F77" w:rsidRPr="003577DD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 xml:space="preserve">Matematyka 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1. Zakres podstawowy.</w:t>
            </w:r>
          </w:p>
        </w:tc>
        <w:tc>
          <w:tcPr>
            <w:tcW w:w="1783" w:type="dxa"/>
            <w:vMerge w:val="restart"/>
            <w:tcBorders>
              <w:top w:val="single" w:sz="12" w:space="0" w:color="999999" w:themeColor="text1" w:themeTint="66"/>
              <w:left w:val="single" w:sz="4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Babiński</w:t>
            </w:r>
          </w:p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Chańko</w:t>
            </w:r>
          </w:p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77">
              <w:rPr>
                <w:sz w:val="20"/>
                <w:szCs w:val="20"/>
              </w:rPr>
              <w:t>378/1/2011/2015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2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 oddziałach 1a, 1c, 1d. + zbiór zadań „Matematyka 1. Zakres podstawowy</w:t>
            </w:r>
            <w:r w:rsidR="00D331E6">
              <w:rPr>
                <w:sz w:val="20"/>
                <w:szCs w:val="20"/>
              </w:rPr>
              <w:t xml:space="preserve"> i rozszerzony</w:t>
            </w:r>
            <w:r>
              <w:rPr>
                <w:sz w:val="20"/>
                <w:szCs w:val="20"/>
              </w:rPr>
              <w:t>.”</w:t>
            </w:r>
          </w:p>
        </w:tc>
      </w:tr>
      <w:tr w:rsidR="00516F77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</w:pPr>
            <w:r>
              <w:t>26</w:t>
            </w:r>
          </w:p>
        </w:tc>
        <w:tc>
          <w:tcPr>
            <w:tcW w:w="1749" w:type="dxa"/>
            <w:vMerge/>
            <w:tcBorders>
              <w:bottom w:val="single" w:sz="12" w:space="0" w:color="999999" w:themeColor="text1" w:themeTint="66"/>
            </w:tcBorders>
            <w:vAlign w:val="center"/>
          </w:tcPr>
          <w:p w:rsidR="00516F77" w:rsidRPr="003577DD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080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1. Zakres podstawowy                                i rozszerzony.</w:t>
            </w:r>
          </w:p>
        </w:tc>
        <w:tc>
          <w:tcPr>
            <w:tcW w:w="1783" w:type="dxa"/>
            <w:vMerge/>
            <w:tcBorders>
              <w:left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4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6F77">
              <w:rPr>
                <w:sz w:val="20"/>
                <w:szCs w:val="20"/>
              </w:rPr>
              <w:t>360/1/2011/2015</w:t>
            </w:r>
          </w:p>
        </w:tc>
        <w:tc>
          <w:tcPr>
            <w:tcW w:w="3768" w:type="dxa"/>
            <w:tcBorders>
              <w:top w:val="single" w:sz="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 oddziale 1b + zbiór zadań „Matematyka 1. Zakres podstawowy i rozszerzony”</w:t>
            </w:r>
          </w:p>
        </w:tc>
      </w:tr>
      <w:tr w:rsidR="00516F77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</w:pPr>
            <w:r>
              <w:t>27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516F77" w:rsidRPr="003577DD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 xml:space="preserve">Informatyka 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516F77" w:rsidRDefault="00516F7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podstawowy 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516F77" w:rsidRDefault="00D9244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to podstawa. Zakres podstawowy.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left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516F77" w:rsidRDefault="00D9244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Gurbiel</w:t>
            </w:r>
          </w:p>
          <w:p w:rsidR="00D92447" w:rsidRDefault="00D9244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Kołczyk</w:t>
            </w:r>
            <w:proofErr w:type="spellEnd"/>
            <w:r>
              <w:rPr>
                <w:sz w:val="20"/>
                <w:szCs w:val="20"/>
              </w:rPr>
              <w:t xml:space="preserve"> i inni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516F77" w:rsidRDefault="00D9244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516F77" w:rsidRPr="00516F77" w:rsidRDefault="00D9244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544/2012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516F77" w:rsidRDefault="00D9244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obowiązuje we wszystkich oddziałach klasy pierwszej.</w:t>
            </w:r>
          </w:p>
        </w:tc>
      </w:tr>
      <w:tr w:rsidR="00D92447" w:rsidRPr="006E64C7" w:rsidTr="009A0E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D92447" w:rsidRDefault="00D92447" w:rsidP="009A0E86">
            <w:pPr>
              <w:jc w:val="center"/>
            </w:pPr>
            <w:r>
              <w:t>28</w:t>
            </w:r>
          </w:p>
        </w:tc>
        <w:tc>
          <w:tcPr>
            <w:tcW w:w="1749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D92447" w:rsidRPr="003577DD" w:rsidRDefault="00D9244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577DD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1312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D92447" w:rsidRDefault="00D9244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080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D92447" w:rsidRDefault="00D9244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bezpieczeństwa. Po prostu.</w:t>
            </w:r>
          </w:p>
        </w:tc>
        <w:tc>
          <w:tcPr>
            <w:tcW w:w="1783" w:type="dxa"/>
            <w:tcBorders>
              <w:top w:val="single" w:sz="12" w:space="0" w:color="999999" w:themeColor="text1" w:themeTint="66"/>
              <w:left w:val="single" w:sz="4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D92447" w:rsidRDefault="00D9244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Breitkopf</w:t>
            </w:r>
            <w:proofErr w:type="spellEnd"/>
          </w:p>
          <w:p w:rsidR="00D92447" w:rsidRDefault="00D9244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Cieśla</w:t>
            </w:r>
          </w:p>
        </w:tc>
        <w:tc>
          <w:tcPr>
            <w:tcW w:w="1535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D92447" w:rsidRDefault="00D9244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674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D92447" w:rsidRDefault="00D9244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2447">
              <w:rPr>
                <w:sz w:val="20"/>
                <w:szCs w:val="20"/>
              </w:rPr>
              <w:t>500/2012/2015</w:t>
            </w:r>
          </w:p>
        </w:tc>
        <w:tc>
          <w:tcPr>
            <w:tcW w:w="3768" w:type="dxa"/>
            <w:tcBorders>
              <w:top w:val="single" w:sz="12" w:space="0" w:color="999999" w:themeColor="text1" w:themeTint="66"/>
              <w:bottom w:val="single" w:sz="12" w:space="0" w:color="999999" w:themeColor="text1" w:themeTint="66"/>
            </w:tcBorders>
            <w:vAlign w:val="center"/>
          </w:tcPr>
          <w:p w:rsidR="00D92447" w:rsidRDefault="00D92447" w:rsidP="009A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2447">
              <w:rPr>
                <w:sz w:val="20"/>
                <w:szCs w:val="20"/>
              </w:rPr>
              <w:t>Podręcznik obowiązuje we wszystkich oddziałach klasy pierwszej.</w:t>
            </w:r>
          </w:p>
        </w:tc>
      </w:tr>
    </w:tbl>
    <w:p w:rsidR="002D092E" w:rsidRPr="006E64C7" w:rsidRDefault="002D092E"/>
    <w:sectPr w:rsidR="002D092E" w:rsidRPr="006E64C7" w:rsidSect="00646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2E" w:rsidRDefault="001A4A2E" w:rsidP="00646EA3">
      <w:pPr>
        <w:spacing w:after="0" w:line="240" w:lineRule="auto"/>
      </w:pPr>
      <w:r>
        <w:separator/>
      </w:r>
    </w:p>
  </w:endnote>
  <w:endnote w:type="continuationSeparator" w:id="0">
    <w:p w:rsidR="001A4A2E" w:rsidRDefault="001A4A2E" w:rsidP="0064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77" w:rsidRDefault="004B1A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77" w:rsidRDefault="004B1A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77" w:rsidRDefault="004B1A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2E" w:rsidRDefault="001A4A2E" w:rsidP="00646EA3">
      <w:pPr>
        <w:spacing w:after="0" w:line="240" w:lineRule="auto"/>
      </w:pPr>
      <w:r>
        <w:separator/>
      </w:r>
    </w:p>
  </w:footnote>
  <w:footnote w:type="continuationSeparator" w:id="0">
    <w:p w:rsidR="001A4A2E" w:rsidRDefault="001A4A2E" w:rsidP="0064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77" w:rsidRDefault="004B1A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A3" w:rsidRPr="00646EA3" w:rsidRDefault="00646EA3" w:rsidP="00646EA3">
    <w:pPr>
      <w:pStyle w:val="Nagwek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618412" cy="800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1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EA3">
      <w:rPr>
        <w:b/>
        <w:sz w:val="32"/>
        <w:szCs w:val="32"/>
      </w:rPr>
      <w:t xml:space="preserve">Wykaz podręczników </w:t>
    </w:r>
  </w:p>
  <w:p w:rsidR="00646EA3" w:rsidRPr="00646EA3" w:rsidRDefault="00646EA3" w:rsidP="00646EA3">
    <w:pPr>
      <w:pStyle w:val="Nagwek"/>
      <w:jc w:val="center"/>
      <w:rPr>
        <w:sz w:val="24"/>
        <w:szCs w:val="32"/>
      </w:rPr>
    </w:pPr>
    <w:r w:rsidRPr="00646EA3">
      <w:rPr>
        <w:sz w:val="24"/>
        <w:szCs w:val="32"/>
      </w:rPr>
      <w:t>dla klasy pierwszej liceum</w:t>
    </w:r>
  </w:p>
  <w:p w:rsidR="00646EA3" w:rsidRPr="00646EA3" w:rsidRDefault="00DE36F1" w:rsidP="00646EA3">
    <w:pPr>
      <w:pStyle w:val="Nagwek"/>
      <w:jc w:val="center"/>
      <w:rPr>
        <w:sz w:val="24"/>
        <w:szCs w:val="32"/>
      </w:rPr>
    </w:pPr>
    <w:r>
      <w:rPr>
        <w:sz w:val="24"/>
        <w:szCs w:val="32"/>
      </w:rPr>
      <w:t>rok szkolny 2018/2019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77" w:rsidRDefault="004B1A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51E"/>
    <w:multiLevelType w:val="hybridMultilevel"/>
    <w:tmpl w:val="F312A0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372"/>
    <w:multiLevelType w:val="hybridMultilevel"/>
    <w:tmpl w:val="F0243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3"/>
    <w:rsid w:val="0007120C"/>
    <w:rsid w:val="000F1E4F"/>
    <w:rsid w:val="001A4A2E"/>
    <w:rsid w:val="002D092E"/>
    <w:rsid w:val="003577DD"/>
    <w:rsid w:val="00432E05"/>
    <w:rsid w:val="00436D77"/>
    <w:rsid w:val="00474D37"/>
    <w:rsid w:val="004B1A77"/>
    <w:rsid w:val="004E189F"/>
    <w:rsid w:val="00516F77"/>
    <w:rsid w:val="00646EA3"/>
    <w:rsid w:val="006E64C7"/>
    <w:rsid w:val="007B5275"/>
    <w:rsid w:val="00842711"/>
    <w:rsid w:val="008F5054"/>
    <w:rsid w:val="00940EAF"/>
    <w:rsid w:val="009A0E86"/>
    <w:rsid w:val="009C5FA3"/>
    <w:rsid w:val="009E3609"/>
    <w:rsid w:val="00A04B91"/>
    <w:rsid w:val="00A40A9E"/>
    <w:rsid w:val="00A641F2"/>
    <w:rsid w:val="00A81248"/>
    <w:rsid w:val="00AB7B69"/>
    <w:rsid w:val="00D331E6"/>
    <w:rsid w:val="00D35167"/>
    <w:rsid w:val="00D46A2D"/>
    <w:rsid w:val="00D77C0D"/>
    <w:rsid w:val="00D92447"/>
    <w:rsid w:val="00DE36F1"/>
    <w:rsid w:val="00F946FE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A5BE9-68C9-4B05-B95E-39378EFA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646E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46E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646E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4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EA3"/>
  </w:style>
  <w:style w:type="paragraph" w:styleId="Stopka">
    <w:name w:val="footer"/>
    <w:basedOn w:val="Normalny"/>
    <w:link w:val="StopkaZnak"/>
    <w:uiPriority w:val="99"/>
    <w:unhideWhenUsed/>
    <w:rsid w:val="0064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EA3"/>
  </w:style>
  <w:style w:type="table" w:styleId="Tabelasiatki1jasnaakcent1">
    <w:name w:val="Grid Table 1 Light Accent 1"/>
    <w:basedOn w:val="Standardowy"/>
    <w:uiPriority w:val="46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2">
    <w:name w:val="Plain Table 2"/>
    <w:basedOn w:val="Standardowy"/>
    <w:uiPriority w:val="42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36D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3akcent5">
    <w:name w:val="Grid Table 3 Accent 5"/>
    <w:basedOn w:val="Standardowy"/>
    <w:uiPriority w:val="48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5ciemnaakcent3">
    <w:name w:val="Grid Table 5 Dark Accent 3"/>
    <w:basedOn w:val="Standardowy"/>
    <w:uiPriority w:val="50"/>
    <w:rsid w:val="00436D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B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B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4B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DDE3-9875-44F6-8025-11F47599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2017-06-13T07:57:00Z</dcterms:created>
  <dcterms:modified xsi:type="dcterms:W3CDTF">2018-06-20T08:17:00Z</dcterms:modified>
</cp:coreProperties>
</file>